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66956485" w:rsidR="00B2529A" w:rsidRDefault="00B154D1">
      <w:pPr>
        <w:ind w:right="158"/>
        <w:jc w:val="center"/>
        <w:rPr>
          <w:rFonts w:ascii="Times New Roman" w:eastAsia="Times New Roman" w:hAnsi="Times New Roman" w:cs="Times New Roman"/>
          <w:b/>
        </w:rPr>
      </w:pPr>
      <w:r>
        <w:rPr>
          <w:rFonts w:ascii="Times New Roman" w:eastAsia="Times New Roman" w:hAnsi="Times New Roman" w:cs="Times New Roman"/>
          <w:b/>
        </w:rPr>
        <w:t>Attachment M</w:t>
      </w:r>
      <w:r>
        <w:rPr>
          <w:rFonts w:ascii="Times New Roman" w:eastAsia="Times New Roman" w:hAnsi="Times New Roman" w:cs="Times New Roman"/>
          <w:b/>
        </w:rPr>
        <w:t>.3</w:t>
      </w:r>
    </w:p>
    <w:p w14:paraId="00000002" w14:textId="77777777" w:rsidR="00B2529A" w:rsidRDefault="00B154D1">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B2529A" w:rsidRDefault="00B154D1">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Software as a Service Engagements</w:t>
      </w:r>
    </w:p>
    <w:p w14:paraId="00000004" w14:textId="77777777" w:rsidR="00B2529A" w:rsidRDefault="00B2529A">
      <w:pPr>
        <w:tabs>
          <w:tab w:val="left" w:pos="2719"/>
        </w:tabs>
        <w:ind w:right="158"/>
        <w:jc w:val="center"/>
        <w:rPr>
          <w:rFonts w:ascii="Times New Roman" w:eastAsia="Times New Roman" w:hAnsi="Times New Roman" w:cs="Times New Roman"/>
          <w:b/>
        </w:rPr>
      </w:pPr>
    </w:p>
    <w:p w14:paraId="00000005" w14:textId="77777777" w:rsidR="00B2529A" w:rsidRDefault="00B154D1">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sidR="00B2529A">
          <w:rPr>
            <w:color w:val="0563C1"/>
            <w:u w:val="single"/>
          </w:rPr>
          <w:t>https://www.in.gov/iot/security/information-security-framework2/</w:t>
        </w:r>
      </w:hyperlink>
      <w:r>
        <w:t>.</w:t>
      </w:r>
    </w:p>
    <w:p w14:paraId="0000000B"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B2529A" w:rsidRDefault="00B154D1">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B2529A" w:rsidRDefault="00B154D1">
      <w:pPr>
        <w:widowControl/>
        <w:spacing w:after="160" w:line="259" w:lineRule="auto"/>
        <w:rPr>
          <w:rFonts w:ascii="Times New Roman" w:eastAsia="Times New Roman" w:hAnsi="Times New Roman" w:cs="Times New Roman"/>
        </w:rPr>
      </w:pPr>
      <w:r>
        <w:br w:type="page"/>
      </w:r>
    </w:p>
    <w:p w14:paraId="00000010" w14:textId="77777777" w:rsidR="00B2529A" w:rsidRDefault="00B154D1">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r>
        <w:rPr>
          <w:rFonts w:ascii="Times New Roman" w:eastAsia="Times New Roman" w:hAnsi="Times New Roman" w:cs="Times New Roman"/>
        </w:rPr>
        <w:tab/>
      </w:r>
    </w:p>
    <w:p w14:paraId="00000011" w14:textId="77777777" w:rsidR="00B2529A" w:rsidRDefault="00B154D1">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B2529A" w:rsidRDefault="00B154D1">
      <w:pPr>
        <w:tabs>
          <w:tab w:val="left" w:pos="454"/>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B2529A" w:rsidRDefault="00B154D1">
      <w:pPr>
        <w:tabs>
          <w:tab w:val="left" w:pos="454"/>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B2529A" w:rsidRDefault="00B154D1">
      <w:pPr>
        <w:tabs>
          <w:tab w:val="left" w:pos="454"/>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B2529A" w:rsidRDefault="00B154D1">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B2529A" w:rsidRDefault="00B154D1">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B2529A" w:rsidRDefault="00B154D1">
      <w:pPr>
        <w:tabs>
          <w:tab w:val="left" w:pos="454"/>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B2529A" w:rsidRDefault="00B154D1">
      <w:pPr>
        <w:tabs>
          <w:tab w:val="left" w:pos="454"/>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B2529A" w:rsidRDefault="00B154D1">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B2529A" w:rsidRDefault="00B154D1">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B2529A" w:rsidRDefault="00B154D1">
      <w:pPr>
        <w:tabs>
          <w:tab w:val="left" w:pos="454"/>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w:t>
      </w:r>
      <w:r>
        <w:rPr>
          <w:rFonts w:ascii="Times New Roman" w:eastAsia="Times New Roman" w:hAnsi="Times New Roman" w:cs="Times New Roman"/>
        </w:rPr>
        <w:t xml:space="preserve"> in the Service Level Agreement.</w:t>
      </w:r>
    </w:p>
    <w:p w14:paraId="0000001C" w14:textId="77777777" w:rsidR="00B2529A" w:rsidRDefault="00B154D1">
      <w:pPr>
        <w:pStyle w:val="Heading4"/>
        <w:tabs>
          <w:tab w:val="left" w:pos="454"/>
        </w:tabs>
        <w:spacing w:after="120" w:line="276" w:lineRule="auto"/>
        <w:ind w:left="120" w:firstLine="0"/>
        <w:rPr>
          <w:rFonts w:ascii="Times New Roman" w:eastAsia="Times New Roman" w:hAnsi="Times New Roman" w:cs="Times New Roman"/>
        </w:rPr>
      </w:pPr>
      <w:bookmarkStart w:id="0" w:name="_heading=h.npeuy5caqpat"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B2529A" w:rsidRDefault="00B154D1">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w:t>
      </w:r>
      <w:r>
        <w:rPr>
          <w:rFonts w:ascii="Times New Roman" w:eastAsia="Times New Roman" w:hAnsi="Times New Roman" w:cs="Times New Roman"/>
        </w:rPr>
        <w:t>he contract, and in accordance with IC 4-1-11 and IC 24-4.9 as they may apply.</w:t>
      </w:r>
    </w:p>
    <w:p w14:paraId="0000001E" w14:textId="77777777" w:rsidR="00B2529A" w:rsidRDefault="00B154D1">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B2529A" w:rsidRDefault="00B154D1">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w:t>
      </w:r>
      <w:r>
        <w:rPr>
          <w:rFonts w:ascii="Times New Roman" w:eastAsia="Times New Roman" w:hAnsi="Times New Roman" w:cs="Times New Roman"/>
        </w:rPr>
        <w:t xml:space="preserve">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B2529A" w:rsidRDefault="00B154D1">
      <w:pPr>
        <w:tabs>
          <w:tab w:val="left" w:pos="454"/>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B2529A" w:rsidRDefault="00B154D1">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B2529A" w:rsidRDefault="00B154D1">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w:t>
      </w:r>
      <w:r>
        <w:rPr>
          <w:rFonts w:ascii="Times New Roman" w:eastAsia="Times New Roman" w:hAnsi="Times New Roman" w:cs="Times New Roman"/>
        </w:rPr>
        <w:t xml:space="preserv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w:t>
      </w:r>
      <w:r>
        <w:rPr>
          <w:rFonts w:ascii="Times New Roman" w:eastAsia="Times New Roman" w:hAnsi="Times New Roman" w:cs="Times New Roman"/>
        </w:rPr>
        <w:t>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B2529A" w:rsidRDefault="00B154D1">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B2529A" w:rsidRDefault="00B154D1">
      <w:pPr>
        <w:pStyle w:val="Heading4"/>
        <w:tabs>
          <w:tab w:val="left" w:pos="454"/>
        </w:tabs>
        <w:spacing w:after="120" w:line="276" w:lineRule="auto"/>
        <w:ind w:left="120" w:firstLine="0"/>
        <w:rPr>
          <w:rFonts w:ascii="Times New Roman" w:eastAsia="Times New Roman" w:hAnsi="Times New Roman" w:cs="Times New Roman"/>
          <w:b w:val="0"/>
        </w:rPr>
      </w:pPr>
      <w:bookmarkStart w:id="1" w:name="_heading=h.eu8it3e1g5iz"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B2529A" w:rsidRDefault="00B154D1">
      <w:pPr>
        <w:tabs>
          <w:tab w:val="left" w:pos="454"/>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B2529A" w:rsidRDefault="00B154D1">
      <w:pPr>
        <w:tabs>
          <w:tab w:val="left" w:pos="454"/>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B2529A" w:rsidRDefault="00B154D1">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B2529A" w:rsidRDefault="00B154D1">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w:t>
      </w:r>
      <w:r>
        <w:rPr>
          <w:rFonts w:ascii="Times New Roman" w:eastAsia="Times New Roman" w:hAnsi="Times New Roman" w:cs="Times New Roman"/>
        </w:rPr>
        <w:t>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B2529A" w:rsidRDefault="00B154D1">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 xml:space="preserve">request of the State. The contractor shall not utilize any staff, including subcontractors, to fulfill the obligations of the contract who have been convicted of any crime of dishonesty, including but not limited to criminal fraud, or </w:t>
      </w:r>
      <w:r>
        <w:rPr>
          <w:rFonts w:ascii="Times New Roman" w:eastAsia="Times New Roman" w:hAnsi="Times New Roman" w:cs="Times New Roman"/>
        </w:rPr>
        <w:t>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w:t>
      </w:r>
      <w:r>
        <w:rPr>
          <w:rFonts w:ascii="Times New Roman" w:eastAsia="Times New Roman" w:hAnsi="Times New Roman" w:cs="Times New Roman"/>
        </w:rPr>
        <w:t>ave the right to either: (1) request immediate replacement of the individual; or (2) immediately terminate the contract, related Statement of Work, and related Service Level Agreement.</w:t>
      </w:r>
    </w:p>
    <w:p w14:paraId="0000002B"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B2529A" w:rsidRDefault="00B154D1">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w:t>
      </w:r>
      <w:r>
        <w:rPr>
          <w:rFonts w:ascii="Times New Roman" w:eastAsia="Times New Roman" w:hAnsi="Times New Roman" w:cs="Times New Roman"/>
        </w:rPr>
        <w:t>y the Indiana Office of Technology sets the minimum level of a third-party audit.</w:t>
      </w:r>
    </w:p>
    <w:p w14:paraId="0000002E" w14:textId="77777777" w:rsidR="00B2529A" w:rsidRDefault="00B154D1">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w:t>
      </w:r>
      <w:r>
        <w:rPr>
          <w:rFonts w:ascii="Times New Roman" w:eastAsia="Times New Roman" w:hAnsi="Times New Roman" w:cs="Times New Roman"/>
        </w:rPr>
        <w:t xml:space="preserve"> at its discretion and at the State’s expense. If the contractor maintains Data, State applications, or other State information at multiple data centers, the State may perform an annual audit of each data center.</w:t>
      </w:r>
    </w:p>
    <w:p w14:paraId="0000002F" w14:textId="77777777" w:rsidR="00B2529A" w:rsidRDefault="00B154D1">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B2529A" w:rsidRDefault="00B154D1">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B2529A" w:rsidRDefault="00B154D1">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w:t>
      </w:r>
      <w:r>
        <w:rPr>
          <w:rFonts w:ascii="Times New Roman" w:eastAsia="Times New Roman" w:hAnsi="Times New Roman" w:cs="Times New Roman"/>
        </w:rPr>
        <w:t xml:space="preserve"> Technology with respect to the contractor’s system security plans.</w:t>
      </w:r>
    </w:p>
    <w:p w14:paraId="00000033" w14:textId="77777777" w:rsidR="00B2529A" w:rsidRDefault="00B154D1">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B2529A" w:rsidRDefault="00B154D1">
      <w:pPr>
        <w:tabs>
          <w:tab w:val="left" w:pos="454"/>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B2529A" w:rsidRDefault="00B154D1">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w:t>
      </w:r>
      <w:r>
        <w:rPr>
          <w:rFonts w:ascii="Times New Roman" w:eastAsia="Times New Roman" w:hAnsi="Times New Roman" w:cs="Times New Roman"/>
        </w:rPr>
        <w:t>r’s tools if contractor’s applications are not able to provide this functionality directly.</w:t>
      </w:r>
    </w:p>
    <w:p w14:paraId="00000036" w14:textId="77777777" w:rsidR="00B2529A" w:rsidRDefault="00B154D1">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xml:space="preserve">: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w:t>
      </w:r>
      <w:r>
        <w:rPr>
          <w:rFonts w:ascii="Times New Roman" w:eastAsia="Times New Roman" w:hAnsi="Times New Roman" w:cs="Times New Roman"/>
        </w:rPr>
        <w:t>Service to perform synthetic transaction performance testing.</w:t>
      </w:r>
    </w:p>
    <w:p w14:paraId="00000037" w14:textId="77777777" w:rsidR="00B2529A" w:rsidRDefault="00B154D1">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B2529A" w:rsidRDefault="00B154D1">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B2529A" w:rsidRDefault="00B154D1">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w:t>
      </w:r>
      <w:r>
        <w:rPr>
          <w:rFonts w:ascii="Times New Roman" w:eastAsia="Times New Roman" w:hAnsi="Times New Roman" w:cs="Times New Roman"/>
        </w:rPr>
        <w: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Compliance with Accessibility Standards</w:t>
      </w:r>
      <w:r>
        <w:rPr>
          <w:rFonts w:ascii="Times New Roman" w:eastAsia="Times New Roman" w:hAnsi="Times New Roman" w:cs="Times New Roman"/>
        </w:rPr>
        <w:t>: The contractor shall comply with and adhere to Accessibility Standards of Section 508 Amendment to the Rehabilitation Act of 1973, or any other state laws or administrative regulations identified by the State.</w:t>
      </w:r>
    </w:p>
    <w:p w14:paraId="0000003D" w14:textId="77777777" w:rsidR="00B2529A" w:rsidRDefault="00B154D1">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20.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E" w14:textId="77777777" w:rsidR="00B2529A" w:rsidRDefault="00B2529A">
      <w:pPr>
        <w:pBdr>
          <w:top w:val="nil"/>
          <w:left w:val="nil"/>
          <w:bottom w:val="nil"/>
          <w:right w:val="nil"/>
          <w:between w:val="nil"/>
        </w:pBdr>
        <w:tabs>
          <w:tab w:val="left" w:pos="454"/>
        </w:tabs>
        <w:spacing w:before="197" w:after="120" w:line="276" w:lineRule="auto"/>
        <w:ind w:left="119" w:right="162"/>
        <w:rPr>
          <w:rFonts w:ascii="Times New Roman" w:eastAsia="Times New Roman" w:hAnsi="Times New Roman" w:cs="Times New Roman"/>
          <w:b/>
        </w:rPr>
      </w:pPr>
    </w:p>
    <w:sectPr w:rsidR="00B2529A">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0602C" w14:textId="77777777" w:rsidR="00F5356E" w:rsidRDefault="00F5356E">
      <w:r>
        <w:separator/>
      </w:r>
    </w:p>
  </w:endnote>
  <w:endnote w:type="continuationSeparator" w:id="0">
    <w:p w14:paraId="6C90ACA4" w14:textId="77777777" w:rsidR="00F5356E" w:rsidRDefault="00F5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0" w14:textId="2E5EA984" w:rsidR="00B2529A" w:rsidRDefault="00B154D1">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2F39A4">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2F39A4">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1" w14:textId="77777777" w:rsidR="00B2529A" w:rsidRDefault="00B154D1">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2" w14:textId="77777777" w:rsidR="00B2529A" w:rsidRDefault="00B154D1">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Software as a Service Engagements</w:t>
    </w:r>
  </w:p>
  <w:p w14:paraId="00000043" w14:textId="77777777" w:rsidR="00B2529A" w:rsidRDefault="00B154D1">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F0A9F3" w14:textId="77777777" w:rsidR="00F5356E" w:rsidRDefault="00F5356E">
      <w:r>
        <w:separator/>
      </w:r>
    </w:p>
  </w:footnote>
  <w:footnote w:type="continuationSeparator" w:id="0">
    <w:p w14:paraId="0A99DE18" w14:textId="77777777" w:rsidR="00F5356E" w:rsidRDefault="00F535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F" w14:textId="77777777" w:rsidR="00B2529A" w:rsidRDefault="00B2529A">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29A"/>
    <w:rsid w:val="001E21D3"/>
    <w:rsid w:val="002F39A4"/>
    <w:rsid w:val="003B62DB"/>
    <w:rsid w:val="00B154D1"/>
    <w:rsid w:val="00B2529A"/>
    <w:rsid w:val="00F5356E"/>
    <w:rsid w:val="00FB5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E64D"/>
  <w15:docId w15:val="{17DD660D-D95E-40E8-99B1-3F4A87D43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d8e96LjUXW/FmcjUUPgyKt8NPA==">CgMxLjAyDmgubnBldXk1Y2FxcGF0Mg5oLmV1OGl0M2UxZzVpejgAciExbDJOS3BKc0JwaWJyWU9HRThfTzAxYzhINGFSTEkwN3I=</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12020AC-DE0F-4B1C-B391-0F2702EAA2A0}"/>
</file>

<file path=customXml/itemProps3.xml><?xml version="1.0" encoding="utf-8"?>
<ds:datastoreItem xmlns:ds="http://schemas.openxmlformats.org/officeDocument/2006/customXml" ds:itemID="{32CAEA90-D047-4349-A27F-486D0E16C2E6}">
  <ds:schemaRefs>
    <ds:schemaRef ds:uri="http://schemas.microsoft.com/sharepoint/v3/contenttype/forms"/>
  </ds:schemaRefs>
</ds:datastoreItem>
</file>

<file path=customXml/itemProps4.xml><?xml version="1.0" encoding="utf-8"?>
<ds:datastoreItem xmlns:ds="http://schemas.openxmlformats.org/officeDocument/2006/customXml" ds:itemID="{79F8280F-DFF0-4741-912E-B5FC020D62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3298</Words>
  <Characters>18802</Characters>
  <Application>Microsoft Office Word</Application>
  <DocSecurity>0</DocSecurity>
  <Lines>156</Lines>
  <Paragraphs>44</Paragraphs>
  <ScaleCrop>false</ScaleCrop>
  <Company/>
  <LinksUpToDate>false</LinksUpToDate>
  <CharactersWithSpaces>22056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Carmichael</dc:creator>
  <cp:lastModifiedBy>Alexander, Angie</cp:lastModifiedBy>
  <cp:revision>3</cp:revision>
  <dcterms:created xsi:type="dcterms:W3CDTF">2024-04-16T14:53:00Z</dcterms:created>
  <dcterms:modified xsi:type="dcterms:W3CDTF">2025-07-31T21:11:00Z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